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+*xfs*pvs*Akl*cvA*xBj*tds*dwj*yxi*ohs*bjr*pBk*-</w:t>
            </w:r>
            <w:r>
              <w:rPr>
                <w:rFonts w:ascii="PDF417x" w:hAnsi="PDF417x"/>
                <w:sz w:val="24"/>
                <w:szCs w:val="24"/>
              </w:rPr>
              <w:br/>
              <w:t>+*yqw*Ebl*trB*yaF*ugB*dzb*khx*Aro*sEh*fsE*zew*-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+*eDs*lyd*lyd*lyd*lyd*nxq*gkw*zEu*jra*ydu*zfE*-</w:t>
            </w:r>
            <w:r>
              <w:rPr>
                <w:rFonts w:ascii="PDF417x" w:hAnsi="PDF417x"/>
                <w:sz w:val="24"/>
                <w:szCs w:val="24"/>
              </w:rPr>
              <w:br/>
              <w:t>+*ftw*pxy*oED*hyj*Cas*whi*uci*nCk*Amk*wwn*onA*-</w:t>
            </w:r>
            <w:r>
              <w:rPr>
                <w:rFonts w:ascii="PDF417x" w:hAnsi="PDF417x"/>
                <w:sz w:val="24"/>
                <w:szCs w:val="24"/>
              </w:rPr>
              <w:br/>
              <w:t>+*ftA*trE*ycq*vja*xlm*viC*ojD*Bbo*mwB*xAo*uws*-</w:t>
            </w:r>
            <w:r>
              <w:rPr>
                <w:rFonts w:ascii="PDF417x" w:hAnsi="PDF417x"/>
                <w:sz w:val="24"/>
                <w:szCs w:val="24"/>
              </w:rPr>
              <w:br/>
              <w:t>+*xjq*bsh*bgb*Eky*rtn*Dvr*jgg*Bli*gBi*bCg*uzq*-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AA78142" w14:textId="0B5E849B" w:rsidR="00B92D0F" w:rsidRPr="00B92D0F" w:rsidRDefault="00B92D0F" w:rsidP="009568BF">
      <w:pPr>
        <w:jc w:val="both"/>
        <w:rPr>
          <w:rFonts w:eastAsia="Times New Roman" w:cs="Times New Roman"/>
          <w:noProof w:val="0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0881E1D8">
            <wp:simplePos x="0" y="0"/>
            <wp:positionH relativeFrom="column">
              <wp:posOffset>597535</wp:posOffset>
            </wp:positionH>
            <wp:positionV relativeFrom="paragraph">
              <wp:posOffset>7196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08CE5" w14:textId="4411E4C8" w:rsidR="009568BF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4670509">
                <wp:simplePos x="0" y="0"/>
                <wp:positionH relativeFrom="page">
                  <wp:posOffset>106680</wp:posOffset>
                </wp:positionH>
                <wp:positionV relativeFrom="page">
                  <wp:posOffset>9265920</wp:posOffset>
                </wp:positionV>
                <wp:extent cx="502920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4pt;margin-top:729.6pt;width:39.6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4AA89630" w14:textId="77777777" w:rsidR="009568BF" w:rsidRPr="009568BF" w:rsidRDefault="009568BF" w:rsidP="009568BF"/>
    <w:p w14:paraId="3D355C96" w14:textId="73322798" w:rsidR="009568BF" w:rsidRPr="006658A3" w:rsidRDefault="009568BF" w:rsidP="006658A3">
      <w:pPr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REPUBLIKA HRVATSKA</w:t>
      </w:r>
    </w:p>
    <w:p w14:paraId="5F43465B" w14:textId="77777777" w:rsidR="006658A3" w:rsidRPr="006658A3" w:rsidRDefault="009568BF" w:rsidP="006658A3">
      <w:pPr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LIČKO-SENJSKA ŽUPANIJA</w:t>
      </w:r>
    </w:p>
    <w:p w14:paraId="3386A153" w14:textId="77777777" w:rsidR="006658A3" w:rsidRPr="006658A3" w:rsidRDefault="009568BF" w:rsidP="006658A3">
      <w:pPr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GRAD OTOČAC</w:t>
      </w:r>
    </w:p>
    <w:p w14:paraId="567EC4DB" w14:textId="4EE7B17D" w:rsidR="009568BF" w:rsidRPr="006658A3" w:rsidRDefault="009568BF" w:rsidP="006658A3">
      <w:pPr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 xml:space="preserve">KLASA:  300-01/25-01/18 </w:t>
      </w:r>
    </w:p>
    <w:p w14:paraId="5852F20E" w14:textId="77777777" w:rsidR="009568BF" w:rsidRPr="006658A3" w:rsidRDefault="009568BF" w:rsidP="006658A3">
      <w:pPr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URBROJ: 2125-2-03-25-4</w:t>
      </w:r>
    </w:p>
    <w:p w14:paraId="011CDD87" w14:textId="77777777" w:rsidR="009568BF" w:rsidRDefault="009568BF" w:rsidP="006658A3">
      <w:pPr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Otočac, 04.08.2025.</w:t>
      </w:r>
    </w:p>
    <w:p w14:paraId="081BF952" w14:textId="77777777" w:rsidR="006658A3" w:rsidRPr="006658A3" w:rsidRDefault="006658A3" w:rsidP="006658A3">
      <w:pPr>
        <w:rPr>
          <w:rFonts w:ascii="Times New Roman" w:hAnsi="Times New Roman" w:cs="Times New Roman"/>
          <w:sz w:val="24"/>
          <w:szCs w:val="24"/>
        </w:rPr>
      </w:pPr>
    </w:p>
    <w:p w14:paraId="40AD4A48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Na temelju članka 26. stavka 3. Zakona o sustavu strateškog planiranja i upravljanja razvojem Republike Hrvatske (NN, 123/17 i 151/22), te članka 59. Statuta Grada Otočca (Službeni vjesnik Grada Otočca, broj 9/21), Gradonačelnik Grada Otočca, dana 04. kolovoza 2025.</w:t>
      </w:r>
      <w:r w:rsidRPr="006658A3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Pr="006658A3">
        <w:rPr>
          <w:rFonts w:ascii="Times New Roman" w:hAnsi="Times New Roman" w:cs="Times New Roman"/>
          <w:sz w:val="24"/>
          <w:szCs w:val="24"/>
        </w:rPr>
        <w:t xml:space="preserve">godine, donosi </w:t>
      </w:r>
    </w:p>
    <w:p w14:paraId="5307786F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ODLUKU</w:t>
      </w:r>
    </w:p>
    <w:p w14:paraId="60A410B7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o pokretanju postupka izrade Provedbenog programa Grada Otočca</w:t>
      </w:r>
    </w:p>
    <w:p w14:paraId="112226E2" w14:textId="77777777" w:rsid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za mandatno razdoblje 2025. – 2029. godine</w:t>
      </w:r>
    </w:p>
    <w:p w14:paraId="57B90EF8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63A5CE1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Članak 1.</w:t>
      </w:r>
    </w:p>
    <w:p w14:paraId="680A0717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Ovom Odlukom pokreće se postupak izrade Provedbenog programa Grada Otočca za mandatno razdoblje 2025. – 2029. godine (u daljnjem tekstu: Provedbeni program).</w:t>
      </w:r>
    </w:p>
    <w:p w14:paraId="63BEF803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3D7231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Članak 2.</w:t>
      </w:r>
    </w:p>
    <w:p w14:paraId="4052993E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Provedbeni program je kratkoročni akt strateškog planiranja od značaja za Grad Otočac kojim se opisuju prioritetne mjere i ključne aktivnosti za postizanje specifičnih ciljeva iz povezanih i hijerarhijski viših akata strateškog planiranja, Strategiju zelene urbane obnove Grada Otočca, Strategija pametnog razvoja Grada Otočca za razdoblje 2024. do 2028., Plana razvoja Ličko-senjske županije za razdoblje do 2027. godine i Nacionalne razvojne strategije Republike Hrvatske do 2030. godine.</w:t>
      </w:r>
    </w:p>
    <w:p w14:paraId="3BCDB864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Članak 3.</w:t>
      </w:r>
    </w:p>
    <w:p w14:paraId="5E279823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Provedbeni program bit će usmjeren na definiranje osnovnih polazišta daljnjeg uravnoteženog razvoja Grada Otočca utemeljenog na održivom i učinkovitom korištenju raspoloživih resursa, sukladno načelu partnerstva i suradnje te ostalim temeljnim načelima politike lokalnog razvoja, a izradit će se sukladno Uputama za izradu provedbenih programa jedinica lokalne i područne (regionalne) samouprave, Dokument: UI-PPJLP(R)S-Inačica: 2.0, Ministarstva regionalnoga razvoja i fondova Europske unije odnosno Koordinacijskog tijela za sustav strateškog planiranja i upravljanja razvojem Republike Hrvatske.</w:t>
      </w:r>
    </w:p>
    <w:p w14:paraId="30045F51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C96FC8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Članak 4.</w:t>
      </w:r>
    </w:p>
    <w:p w14:paraId="74D21ED3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Za cjelokupan postupak izrade Provedbenog programa, Gradonačelnik je imenovao Lokalnog koordinatora odnosno Jedinstveni upravni odjel Grada Otočca te Partnersko vijeće koje će imenovati Gradonačelnik Grada Otočca iz redova proračunskih i izvanproračunskih korisnika Grada Otočca.</w:t>
      </w:r>
    </w:p>
    <w:p w14:paraId="3BF57652" w14:textId="226CBBF0" w:rsid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Za administrativno-tehničke poslove zadužuje se Odsjek za europske fondove, sport, socijalnu skrb, društvene djelatnosti, lokalnu samoupravu i upravu, mjesnu samoupravu i radne odnose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58A3">
        <w:rPr>
          <w:rFonts w:ascii="Times New Roman" w:hAnsi="Times New Roman" w:cs="Times New Roman"/>
          <w:sz w:val="24"/>
          <w:szCs w:val="24"/>
        </w:rPr>
        <w:t xml:space="preserve"> Jedinstveni pravni odjel Grada Otočca.</w:t>
      </w:r>
    </w:p>
    <w:p w14:paraId="5AE87210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C8F065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Članak 5.</w:t>
      </w:r>
    </w:p>
    <w:p w14:paraId="01BB2CE9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lastRenderedPageBreak/>
        <w:t>O ovoj Odluci obavijestit će se javnost sukladno odredbama Zakona o sustavu strateškog planiranja i upravljanja razvojem Republike Hrvatske (NN 123/17 i 151/22), objavom na web stranicama Grada Otočca.</w:t>
      </w:r>
    </w:p>
    <w:p w14:paraId="04B68E6F" w14:textId="77777777" w:rsidR="006658A3" w:rsidRPr="006658A3" w:rsidRDefault="006658A3" w:rsidP="006658A3">
      <w:pPr>
        <w:jc w:val="center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Članak 6.</w:t>
      </w:r>
    </w:p>
    <w:p w14:paraId="6A82FD1C" w14:textId="77777777" w:rsidR="006658A3" w:rsidRPr="006658A3" w:rsidRDefault="006658A3" w:rsidP="006658A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Ova Odluka stupa na snagu danom donošenja, a objavit će se u „Službenom vjesniku Grada Otočca“.</w:t>
      </w:r>
    </w:p>
    <w:p w14:paraId="3E350244" w14:textId="77777777" w:rsidR="006658A3" w:rsidRPr="006658A3" w:rsidRDefault="006658A3" w:rsidP="006658A3">
      <w:pPr>
        <w:rPr>
          <w:rFonts w:ascii="Times New Roman" w:hAnsi="Times New Roman" w:cs="Times New Roman"/>
          <w:sz w:val="24"/>
          <w:szCs w:val="24"/>
        </w:rPr>
      </w:pPr>
    </w:p>
    <w:p w14:paraId="12A4B2DD" w14:textId="77777777" w:rsidR="006658A3" w:rsidRPr="006658A3" w:rsidRDefault="006658A3" w:rsidP="006658A3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GRADONAČELNIK</w:t>
      </w:r>
    </w:p>
    <w:p w14:paraId="536E78B0" w14:textId="77777777" w:rsidR="006658A3" w:rsidRPr="006658A3" w:rsidRDefault="006658A3" w:rsidP="006658A3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6658A3">
        <w:rPr>
          <w:rFonts w:ascii="Times New Roman" w:hAnsi="Times New Roman" w:cs="Times New Roman"/>
          <w:sz w:val="24"/>
          <w:szCs w:val="24"/>
        </w:rPr>
        <w:t>Goran Bukovac, dipl. pol.</w:t>
      </w:r>
    </w:p>
    <w:p w14:paraId="5018DED0" w14:textId="77777777" w:rsidR="006658A3" w:rsidRPr="006658A3" w:rsidRDefault="006658A3" w:rsidP="006658A3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14:paraId="6528BA76" w14:textId="77777777" w:rsidR="006658A3" w:rsidRPr="006658A3" w:rsidRDefault="006658A3" w:rsidP="006658A3">
      <w:pPr>
        <w:ind w:left="4962"/>
        <w:jc w:val="right"/>
        <w:rPr>
          <w:rFonts w:ascii="Times New Roman" w:hAnsi="Times New Roman" w:cs="Times New Roman"/>
          <w:sz w:val="24"/>
          <w:szCs w:val="24"/>
        </w:rPr>
      </w:pPr>
    </w:p>
    <w:p w14:paraId="6C9F4B14" w14:textId="77777777" w:rsidR="009568BF" w:rsidRPr="006658A3" w:rsidRDefault="009568BF" w:rsidP="009568BF">
      <w:pPr>
        <w:ind w:firstLine="708"/>
        <w:rPr>
          <w:sz w:val="24"/>
          <w:szCs w:val="24"/>
        </w:rPr>
      </w:pPr>
    </w:p>
    <w:p w14:paraId="36104151" w14:textId="77777777" w:rsidR="009568BF" w:rsidRPr="006658A3" w:rsidRDefault="009568BF" w:rsidP="009568BF">
      <w:pPr>
        <w:ind w:firstLine="708"/>
        <w:jc w:val="right"/>
        <w:rPr>
          <w:sz w:val="24"/>
          <w:szCs w:val="24"/>
        </w:rPr>
      </w:pPr>
    </w:p>
    <w:p w14:paraId="28A68E6E" w14:textId="77777777" w:rsidR="009568BF" w:rsidRPr="006658A3" w:rsidRDefault="009568BF" w:rsidP="009568BF">
      <w:pPr>
        <w:ind w:firstLine="708"/>
        <w:jc w:val="right"/>
        <w:rPr>
          <w:sz w:val="24"/>
          <w:szCs w:val="24"/>
        </w:rPr>
      </w:pPr>
    </w:p>
    <w:p w14:paraId="18B2C8D0" w14:textId="77777777" w:rsidR="009568BF" w:rsidRPr="006658A3" w:rsidRDefault="009568BF" w:rsidP="009568BF">
      <w:pPr>
        <w:ind w:firstLine="708"/>
        <w:jc w:val="right"/>
        <w:rPr>
          <w:sz w:val="24"/>
          <w:szCs w:val="24"/>
        </w:rPr>
      </w:pPr>
    </w:p>
    <w:p w14:paraId="1DCE858B" w14:textId="77777777" w:rsidR="009568BF" w:rsidRPr="006658A3" w:rsidRDefault="009568BF" w:rsidP="009568BF">
      <w:pPr>
        <w:ind w:firstLine="708"/>
        <w:rPr>
          <w:sz w:val="24"/>
          <w:szCs w:val="24"/>
        </w:rPr>
      </w:pPr>
    </w:p>
    <w:p w14:paraId="16E5DEE5" w14:textId="77777777" w:rsidR="009568BF" w:rsidRPr="006658A3" w:rsidRDefault="009568BF" w:rsidP="009568BF">
      <w:pPr>
        <w:ind w:firstLine="708"/>
        <w:rPr>
          <w:sz w:val="24"/>
          <w:szCs w:val="24"/>
        </w:rPr>
      </w:pPr>
    </w:p>
    <w:p w14:paraId="546A0555" w14:textId="77777777" w:rsidR="009568BF" w:rsidRPr="006658A3" w:rsidRDefault="009568BF" w:rsidP="009568BF">
      <w:pPr>
        <w:ind w:firstLine="708"/>
        <w:rPr>
          <w:sz w:val="24"/>
          <w:szCs w:val="24"/>
        </w:rPr>
      </w:pPr>
    </w:p>
    <w:p w14:paraId="3A736AE4" w14:textId="77777777" w:rsidR="008A562A" w:rsidRPr="006658A3" w:rsidRDefault="008A562A" w:rsidP="009568BF">
      <w:pPr>
        <w:ind w:firstLine="708"/>
        <w:rPr>
          <w:sz w:val="24"/>
          <w:szCs w:val="24"/>
        </w:rPr>
      </w:pPr>
    </w:p>
    <w:sectPr w:rsidR="008A562A" w:rsidRPr="006658A3" w:rsidSect="00665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406479"/>
    <w:rsid w:val="00615CFD"/>
    <w:rsid w:val="00620325"/>
    <w:rsid w:val="006658A3"/>
    <w:rsid w:val="0068186E"/>
    <w:rsid w:val="00693AB1"/>
    <w:rsid w:val="00767F8A"/>
    <w:rsid w:val="008A562A"/>
    <w:rsid w:val="008C5FE5"/>
    <w:rsid w:val="009568BF"/>
    <w:rsid w:val="00A51B34"/>
    <w:rsid w:val="00A836D0"/>
    <w:rsid w:val="00AC35DA"/>
    <w:rsid w:val="00B92D0F"/>
    <w:rsid w:val="00C9578C"/>
    <w:rsid w:val="00D67644"/>
    <w:rsid w:val="00D707B3"/>
    <w:rsid w:val="00E060DF"/>
    <w:rsid w:val="00E432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E1EE54-DB0A-4068-8ACE-E2D61A0EFE93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Marija Marković</cp:lastModifiedBy>
  <cp:revision>5</cp:revision>
  <cp:lastPrinted>2014-11-26T14:09:00Z</cp:lastPrinted>
  <dcterms:created xsi:type="dcterms:W3CDTF">2025-01-24T08:59:00Z</dcterms:created>
  <dcterms:modified xsi:type="dcterms:W3CDTF">2025-08-01T13:29:00Z</dcterms:modified>
</cp:coreProperties>
</file>